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left="6663" w:hanging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Приложение 2</w:t>
      </w:r>
    </w:p>
    <w:p>
      <w:pPr>
        <w:pStyle w:val="Normal"/>
        <w:spacing w:lineRule="auto" w:line="240" w:before="0" w:after="0"/>
        <w:ind w:left="6663" w:hanging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к государственной программе "Развитие</w:t>
      </w:r>
    </w:p>
    <w:p>
      <w:pPr>
        <w:pStyle w:val="Normal"/>
        <w:spacing w:lineRule="auto" w:line="240" w:before="0" w:after="0"/>
        <w:ind w:left="6663" w:hanging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здравоохранения Брянской области"</w:t>
      </w:r>
    </w:p>
    <w:p>
      <w:pPr>
        <w:pStyle w:val="Normal"/>
        <w:spacing w:before="0" w:after="0"/>
        <w:ind w:left="6663" w:hanging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 xml:space="preserve">Механизм реализации подпрограммы </w:t>
        <w:br/>
        <w:t>«Обеспечение жильем медицинских работников (врачей) государственных учреждений здравоохранения Брянской области»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и контроль за ходом ее реализации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Система мероприятий подпрограммы направлена на достижение целей подпрограммы и решение поставленной задачи и включает в себя: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cs="Times New Roman" w:ascii="Times New Roman" w:hAnsi="Times New Roman"/>
          <w:sz w:val="28"/>
          <w:szCs w:val="28"/>
        </w:rPr>
        <w:t xml:space="preserve">заключение с государственными учреждениями здравоохранения </w:t>
      </w:r>
      <w:bookmarkEnd w:id="0"/>
      <w:r>
        <w:rPr>
          <w:rFonts w:cs="Times New Roman" w:ascii="Times New Roman" w:hAnsi="Times New Roman"/>
          <w:sz w:val="28"/>
          <w:szCs w:val="28"/>
        </w:rPr>
        <w:t>Брянской области соглашений о предоставлении субсидии на приобретение объектов недвижимого имущества в государственную собственность Брянской области;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приобретение жилых помещений государственными учреждениями здравоохранения Брянской области в соответствии с требованиями действующего законодательства в целях включения их в специализированный жилищный фонд Брянской области и предоставления их по договорам найма служебных жилых помещений участникам подпрограммы.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Подпрограмма реализуется в виде комплекса мероприятий, взаимосвязанных между собой и направленных на решение поставленной задачи.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Реализация подпрограммы осуществляется за счет средств областного бюджета в рамках государственной программы "Развитие здравоохранения Брянской области" в пределах предусмотренных ассигнований в форме предоставления служебных жилых помещений врачам, не обеспеченным жилыми помещениями в соответствующем населенном пункте, по договорам найма служебного жилого помещения в порядке, установленном </w:t>
      </w:r>
      <w:hyperlink r:id="rId2">
        <w:r>
          <w:rPr>
            <w:rFonts w:cs="Times New Roman" w:ascii="Times New Roman" w:hAnsi="Times New Roman"/>
            <w:sz w:val="28"/>
            <w:szCs w:val="28"/>
          </w:rPr>
          <w:t>Законом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Брянской области от 6 апреля 2010 года N 25-З "О порядке предоставления гражданам жилых помещений специализированного жилищного фонда на территории Брянской области".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Департамент здравоохранения Брянской области организует работу по реализации подпрограммы с государственными учреждениями здравоохранения Брянской области.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 целях реализации подпрограммы департамент здравоохранения Брянской области предоставляет государственным учреждениям здравоохранения Брянской области субсидии из областного бюджета на приобретение объектов недвижимого имущества (жилых помещений) в государственную собственность Брянской области в порядке, предусмотренном </w:t>
      </w:r>
      <w:hyperlink r:id="rId3">
        <w:r>
          <w:rPr>
            <w:rFonts w:cs="Times New Roman" w:ascii="Times New Roman" w:hAnsi="Times New Roman"/>
            <w:sz w:val="28"/>
            <w:szCs w:val="28"/>
          </w:rPr>
          <w:t>постановлением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Правительства Брянской области от 27 октября 2014 года N 488-п "Об осуществлении капитальных вложений в объекты государственной и муниципальной собственности на территории Брянской области".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Государственные учреждения здравоохранения Брянской области осуществляют приобретение жилых помещений на рынке недвижимости Брянской области.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Расчетная стоимость приобретения жилого помещения определяется исходя из размера общей площади жилого помещения, рассчитанной исходя из нормы предоставления служебных жилых помещений на одного человека, установленной в Брянской области, и стоимости 1 кв. метра общей площади жилого помещения на территории Брянской области, установленной уполномоченным федеральным органом исполнительной власти.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Закрепление жилых помещений, приобретенных в государственную собственность Брянской области в рамках реализации подпрограммы, на праве оперативного управления за государственными учреждениями здравоохранения Брянской области осуществляет управление имущественных отношений Брянской области по предложению департамента здравоохранения Брянской области.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Департаментом топливно-энергетического комплекса и жилищно-коммунального хозяйства Брянской области осуществляется включение жилых помещений в состав специализированного жилищного фонда Брянской области с отнесением к служебным жилым помещениям в порядке, установленном законодательством.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Ответственный исполнитель подпрограммы несет ответственность за целевое и эффективное использование средств областного бюджета, выделяемых на реализацию подпрограммы.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Контроль за исполнением подпрограммы осуществляет департамент здравоохранения Брянской области в соответствии с Указами Президента Российской Федерации от 7 мая 2012 года </w:t>
      </w:r>
      <w:hyperlink r:id="rId4">
        <w:r>
          <w:rPr>
            <w:rFonts w:cs="Times New Roman" w:ascii="Times New Roman" w:hAnsi="Times New Roman"/>
            <w:sz w:val="28"/>
            <w:szCs w:val="28"/>
          </w:rPr>
          <w:t>N 598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"О совершенствовании государственной политики в сфере здравоохранения", от 7 мая 2018 года </w:t>
      </w:r>
      <w:hyperlink r:id="rId5">
        <w:r>
          <w:rPr>
            <w:rFonts w:cs="Times New Roman" w:ascii="Times New Roman" w:hAnsi="Times New Roman"/>
            <w:sz w:val="28"/>
            <w:szCs w:val="28"/>
          </w:rPr>
          <w:t>N 204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"О национальных целях и стратегических задачах развития Российской Федерации на период до 2024 года".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Государственные учреждения здравоохранения Брянской области по требованию ответственного исполнителя подпрограммы представляют в установленные сроки необходимую информацию и расчеты потребности в финансовых средствах для формирования перечня мероприятий на соответствующий период.</w:t>
      </w:r>
    </w:p>
    <w:p>
      <w:pPr>
        <w:pStyle w:val="Normal"/>
        <w:spacing w:lineRule="auto" w:line="240" w:before="0" w:after="0"/>
        <w:ind w:firstLine="54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Уполномоченный орган исполнительной власти Брянской области вправе принять решение о приватизации служебного жилого помещения, занимаемого медицинским работником (врачом), отработавшим в государственных учреждениях здравоохранения Брянской области не менее 10 лет с даты заключения договора найма служебного жилого помещения на условиях полного рабочего дня с продолжительностью рабочего времени, установленной в соответствии с Трудовым кодексом Российской Федерации.</w:t>
      </w:r>
    </w:p>
    <w:sectPr>
      <w:type w:val="nextPage"/>
      <w:pgSz w:w="11906" w:h="16838"/>
      <w:pgMar w:left="1701" w:right="850" w:header="0" w:top="709" w:footer="0" w:bottom="1134" w:gutter="0"/>
      <w:pgNumType w:fmt="decimal"/>
      <w:formProt w:val="false"/>
      <w:textDirection w:val="lrTb"/>
      <w:docGrid w:type="default" w:linePitch="299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rPr>
      <w:color w:val="000080"/>
      <w:u w:val="single"/>
      <w:lang w:val="zxx" w:eastAsia="zxx" w:bidi="zxx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 Unicode M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 Unicode M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DA8CF1303E23785838E025AF216EB3C186FD561AB5596C70A3DA8C15C631538FAB91F6539F895671DDB5C68237C99BFFX9L9N" TargetMode="External"/><Relationship Id="rId3" Type="http://schemas.openxmlformats.org/officeDocument/2006/relationships/hyperlink" Target="consultantplus://offline/ref=DA8CF1303E23785838E025AF216EB3C186FD561AB6546B72A6DA8C15C631538FAB91F6539F895671DDB5C68237C99BFFX9L9N" TargetMode="External"/><Relationship Id="rId4" Type="http://schemas.openxmlformats.org/officeDocument/2006/relationships/hyperlink" Target="consultantplus://offline/ref=DA8CF1303E23785838E03BA23702EFCC86F40114B7586527FF85D748913859D8FEDEF70FD9DF4573DAB5C4862BXCLAN" TargetMode="External"/><Relationship Id="rId5" Type="http://schemas.openxmlformats.org/officeDocument/2006/relationships/hyperlink" Target="consultantplus://offline/ref=DA8CF1303E23785838E03BA23702EFCC84F30017B15B6527FF85D748913859D8FEDEF70FD9DF4573DAB5C4862BXCLAN" TargetMode="Externa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FC91F-5E23-4C83-BB3F-746B1BD40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8272</TotalTime>
  <Application>LibreOffice/7.0.1.2$Windows_X86_64 LibreOffice_project/7cbcfc562f6eb6708b5ff7d7397325de9e764452</Application>
  <Pages>2</Pages>
  <Words>531</Words>
  <Characters>4241</Characters>
  <CharactersWithSpaces>4753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2021-05-11T07:25:00Z</dcterms:created>
  <dc:creator>User36</dc:creator>
  <dc:description/>
  <dc:language>ru-RU</dc:language>
  <cp:lastModifiedBy/>
  <cp:lastPrinted>2021-06-11T11:23:00Z</cp:lastPrinted>
  <dcterms:modified xsi:type="dcterms:W3CDTF">2021-10-26T09:40:23Z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